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  <w:jc w:val="center"/>
      </w:pPr>
      <w:r>
        <w:rPr>
          <w:rFonts w:ascii="Arial" w:hAnsi="Arial"/>
          <w:b/>
          <w:i w:val="0"/>
          <w:color w:val="1F4E78"/>
          <w:sz w:val="30"/>
        </w:rPr>
        <w:t>STROBE Statement — Checklist for Cross-Sectional Studies</w:t>
      </w:r>
    </w:p>
    <w:p>
      <w:pPr>
        <w:spacing w:after="140"/>
        <w:jc w:val="center"/>
      </w:pPr>
      <w:r>
        <w:rPr>
          <w:rFonts w:ascii="Arial" w:hAnsi="Arial"/>
          <w:b/>
          <w:i w:val="0"/>
          <w:color w:val="44546A"/>
          <w:sz w:val="21"/>
        </w:rPr>
        <w:t>Supplementary Material 1</w:t>
      </w:r>
    </w:p>
    <w:p>
      <w:pPr>
        <w:spacing w:after="60"/>
      </w:pPr>
      <w:r>
        <w:rPr>
          <w:rFonts w:ascii="Arial" w:hAnsi="Arial"/>
          <w:b/>
          <w:i w:val="0"/>
          <w:color w:val="000000"/>
          <w:sz w:val="18"/>
        </w:rPr>
        <w:t xml:space="preserve">Manuscript: </w:t>
      </w:r>
      <w:r>
        <w:rPr>
          <w:rFonts w:ascii="Arial" w:hAnsi="Arial"/>
          <w:b w:val="0"/>
          <w:i w:val="0"/>
          <w:color w:val="000000"/>
          <w:sz w:val="18"/>
        </w:rPr>
        <w:t>EEG Analysis of Visual Attention Under Perception of Affective Prosody in Children with Autism Spectrum Disorder</w:t>
      </w:r>
    </w:p>
    <w:p>
      <w:pPr>
        <w:spacing w:after="160"/>
      </w:pPr>
      <w:r>
        <w:rPr>
          <w:rFonts w:ascii="Arial" w:hAnsi="Arial"/>
          <w:b/>
          <w:i w:val="0"/>
          <w:color w:val="000000"/>
          <w:sz w:val="18"/>
        </w:rPr>
        <w:t xml:space="preserve">Study classification: </w:t>
      </w:r>
      <w:r>
        <w:rPr>
          <w:rFonts w:ascii="Arial" w:hAnsi="Arial"/>
          <w:b w:val="0"/>
          <w:i w:val="0"/>
          <w:color w:val="000000"/>
          <w:sz w:val="18"/>
        </w:rPr>
        <w:t>Cross-sectional secondary analysis of a publicly available observational EEG dataset.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13"/>
        <w:gridCol w:w="648"/>
        <w:gridCol w:w="4003"/>
        <w:gridCol w:w="4104"/>
      </w:tblGrid>
      <w:tr>
        <w:trPr>
          <w:tblHeader w:val="true"/>
          <w:cantSplit/>
        </w:trPr>
        <w:tc>
          <w:tcPr>
            <w:tcW w:type="dxa" w:w="1613"/>
            <w:vAlign w:val="center"/>
            <w:shd w:fill="1F4E78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7"/>
              </w:rPr>
              <w:t>Item</w:t>
            </w:r>
          </w:p>
        </w:tc>
        <w:tc>
          <w:tcPr>
            <w:tcW w:type="dxa" w:w="648"/>
            <w:vAlign w:val="center"/>
            <w:shd w:fill="1F4E78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7"/>
              </w:rPr>
              <w:t>No.</w:t>
            </w:r>
          </w:p>
        </w:tc>
        <w:tc>
          <w:tcPr>
            <w:tcW w:type="dxa" w:w="4003"/>
            <w:vAlign w:val="center"/>
            <w:shd w:fill="1F4E78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7"/>
              </w:rPr>
              <w:t>STROBE recommendation</w:t>
            </w:r>
          </w:p>
        </w:tc>
        <w:tc>
          <w:tcPr>
            <w:tcW w:type="dxa" w:w="4104"/>
            <w:vAlign w:val="center"/>
            <w:shd w:fill="1F4E78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7"/>
              </w:rPr>
              <w:t>Location in manuscript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Title and abstract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1(a)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Indicate the study's design with a commonly used term in the title or the abstract.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Abstract — Methods; Section 2, Materials and Methods (cross-sectional secondary analysis).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1(b)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Provide in the abstract an informative and balanced summary of what was done and what was found.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Abstract — Background, Methods, Results, and Conclusions.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Background/rationale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2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Explain the scientific background and rationale for the investigation being reported.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1, Introduction, paragraphs 1–8.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Objectives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3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State specific objectives, including any prespecified hypotheses.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1, final paragraph (study aims concerning group differences and emotion–cognition interactions).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Study design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4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Present key elements of study design early in the paper.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2, Materials and Methods; Sections 2.1–2.2.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Setting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5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Describe the setting, locations, and relevant dates, including periods of recruitment, exposure, follow-up, and data collection.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2.1 (schools and clinical centers in Monterrey, Mexico; public documentation did not report collection dates; dataset publication dates are provided).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Participants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6(a)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Give eligibility criteria and the sources and methods of participant selection.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2.1 (recruitment sources, diagnostic classification, inclusion/exclusion criteria, and final analytic sample).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6(b)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For matched studies, give matching criteria and numbers of exposed and unexposed participants.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Not applicable — the ASD and TD groups were not individually matched.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Variables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7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Clearly define outcomes, exposures, predictors, potential confounders, and effect modifiers. Give diagnostic criteria, if applicable.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2.1–2.2 and 2.5–2.7 (ASD/TD grouping, ASRS measures, attention and emotion conditions, TBR outcomes, and age/gender covariates).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Data sources / measurement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8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For each variable of interest, give sources of data and details of assessment methods. Describe comparability of assessment methods when there is more than one group.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2.1 and 2.3–2.6; Figs. 1–4. Cross-system comparability and harmonization are discussed in Section 2.3.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Bias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9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Describe any efforts to address potential sources of bias.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2.1, 2.3, and 2.7; Section 4.7. Measures include common-channel restriction, resampling/harmonization, covariate robustness analyses, and acknowledgment of selection, sex-distribution, diagnostic, and acquisition-system limitations.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Study size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10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Explain how the study size was arrived at.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2.1 (all 62 available participants were considered; no prospective sample-size calculation; 56 participants remained in the final EEG analysis).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Quantitative variables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11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Explain how quantitative variables were handled in the analyses. If applicable, describe which groupings were chosen and why.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2.1, 2.2, 2.5, and 2.7 (ASRS scores, regional TBR averages, three attention-load conditions, and two emotion conditions).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Statistical methods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12(a)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Describe all statistical methods, including those used to control for confounding.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2.7 (three-way repeated-measures ANOVA, post-hoc tests, Welch corrections, multiplicity corrections, effect sizes, correlations, and mixed-effects robustness models including age and gender).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12(b)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Describe any methods used to examine subgroups and interactions.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2.7; Sections 3.2–3.4 (group, emotion, and attention-load interactions and group-specific correlations).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12(c)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Explain how missing data were addressed.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2.1 and 2.4 (complete available-case analysis; no imputation; six participants excluded because insufficient valid EEG epochs remained).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12(d)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If applicable, describe analytical methods taking account of the sampling strategy.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Not applicable — this was a secondary analysis of a fixed public dataset and no complex survey-sampling design was used.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12(e)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Describe any sensitivity analyses.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2.7 (linear mixed-effects models including age and gender as covariates were used as robustness analyses).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Participants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13(a)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Report numbers of individuals at each stage of the study.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2.1 and Section 2.4: 62 in the source dataset (31 ASD, 31 TD); 6 excluded after EEG quality control (3 per group); 56 analyzed (28 per group).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13(b)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Give reasons for non-participation at each stage.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2.1 and 2.4: six participants were excluded because too few valid EEG epochs remained after preprocessing and artifact rejection.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13(c)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Consider use of a flow diagram.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No flow diagram is provided. A diagram is optional; the participant flow is reported narratively in Sections 2.1 and 2.4.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Descriptive data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14(a)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Give characteristics of study participants and information on exposures and potential confounders.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Table 1 and Section 3.1 (age, gender, clinical/ASRS measures, and tracking capacity).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14(b)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Indicate the number of participants with missing data for each variable of interest.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2.1 (no additional missing demographic, clinical, behavioral, or EEG outcome data remained in the final analytic sample).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14(c)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Summarize follow-up time, if applicable.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Not applicable — cross-sectional study with no longitudinal follow-up.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Outcome data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15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Report numbers of outcome events or summary measures.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3.2–3.5; Tables 1–2; Figs. 5–11 (TBR summaries, ANOVA effects, post-hoc contrasts, correlations, and topographic patterns).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Main results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16(a)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Give unadjusted estimates and, if applicable, confounder-adjusted estimates and their precision. Make clear which confounders were adjusted for and why.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2.7 and 3.2–3.4; Figs. 5–10; Tables 1–2. Effect sizes and corrected p-values are reported; correlation 95% CIs appear in Table 2. Age/gender-adjusted mixed-model findings are summarized in Section 2.7.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16(b)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Report category boundaries when continuous variables were categorized.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Not applicable to the principal continuous TBR outcomes. Attention load was defined by task condition (IAPS/neutral viewing, MOT-4, MOT-8) in Section 2.2.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16(c)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If relevant, consider translating estimates of relative risk into absolute risk for a meaningful time period.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Not applicable — no risks, incidence rates, or time-to-event outcomes were estimated.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Other analyses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17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Report other analyses performed, such as subgroup, interaction, and sensitivity analyses.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2.7 and 3.2–3.5 (interaction tests, post-hoc comparisons, group-specific correlations, topographic analysis, and covariate robustness checks).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Key results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18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Summarize key results with reference to study objectives.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4, opening paragraph; Sections 4.1–4.6; Section 5.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Limitations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19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Discuss limitations, considering potential sources of bias or imprecision and their likely direction and magnitude.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 4.7 (sample size, gender imbalance, diagnostic certainty, different EEG systems, age range, auditory-only stimuli, and limited EEG feature set).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Interpretation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20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Give a cautious overall interpretation considering objectives, limitations, multiplicity of analyses, similar studies, and other relevant evidence.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4.1–4.7 and Section 5. Conclusions appropriately describe findings as preliminary and avoid diagnostic claims.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Generalisability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21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Discuss the generalisability (external validity) of the study results.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Sections 2.1 and 4.7 (school/clinic recruitment, Mexican sample, school-age restriction, gender imbalance, and limits on generalization to females, other ages, and naturalistic multimodal contexts).</w:t>
            </w:r>
          </w:p>
        </w:tc>
      </w:tr>
      <w:tr>
        <w:trPr>
          <w:cantSplit/>
        </w:trPr>
        <w:tc>
          <w:tcPr>
            <w:tcW w:type="dxa" w:w="161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Funding</w:t>
            </w:r>
          </w:p>
        </w:tc>
        <w:tc>
          <w:tcPr>
            <w:tcW w:type="dxa" w:w="64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i w:val="0"/>
                <w:color w:val="000000"/>
                <w:sz w:val="16"/>
              </w:rPr>
              <w:t>22</w:t>
            </w:r>
          </w:p>
        </w:tc>
        <w:tc>
          <w:tcPr>
            <w:tcW w:type="dxa" w:w="4003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Give the source of funding and the role of the funders for the present study and, if applicable, for the original study on which the article is based.</w:t>
            </w:r>
          </w:p>
        </w:tc>
        <w:tc>
          <w:tcPr>
            <w:tcW w:type="dxa" w:w="4104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4F7FA"/>
          </w:tcPr>
          <w:p>
            <w:pPr>
              <w:spacing w:before="0" w:after="0" w:line="252" w:lineRule="auto"/>
            </w:pPr>
            <w:r/>
            <w:r>
              <w:rPr>
                <w:rFonts w:ascii="Arial" w:hAnsi="Arial"/>
                <w:b w:val="0"/>
                <w:i w:val="0"/>
                <w:color w:val="000000"/>
                <w:sz w:val="16"/>
              </w:rPr>
              <w:t>Funding section (NSFC Grants 62073077 and 61673113; Guangdong Grant 2018B030335001; funders’ role stated).</w:t>
            </w:r>
          </w:p>
        </w:tc>
      </w:tr>
    </w:tbl>
    <w:p>
      <w:pPr>
        <w:spacing w:before="160" w:after="40"/>
      </w:pPr>
      <w:r>
        <w:rPr>
          <w:rFonts w:ascii="Arial" w:hAnsi="Arial"/>
          <w:b/>
          <w:i w:val="0"/>
          <w:color w:val="1F4E78"/>
          <w:sz w:val="20"/>
        </w:rPr>
        <w:t>Suggested citation in the manuscript</w:t>
      </w:r>
    </w:p>
    <w:p>
      <w:pPr>
        <w:spacing w:after="80"/>
      </w:pPr>
      <w:r>
        <w:rPr>
          <w:rFonts w:ascii="Arial" w:hAnsi="Arial"/>
          <w:b w:val="0"/>
          <w:i/>
          <w:color w:val="000000"/>
          <w:sz w:val="18"/>
        </w:rPr>
        <w:t>This cross-sectional secondary analysis is reported in accordance with the Strengthening the Reporting of Observational Studies in Epidemiology (STROBE) guidelines (Supplementary Material 1).</w:t>
      </w:r>
    </w:p>
    <w:p>
      <w:pPr>
        <w:spacing w:before="80" w:after="40"/>
      </w:pPr>
      <w:r>
        <w:rPr>
          <w:rFonts w:ascii="Arial" w:hAnsi="Arial"/>
          <w:b/>
          <w:i w:val="0"/>
          <w:color w:val="1F4E78"/>
          <w:sz w:val="20"/>
        </w:rPr>
        <w:t>Checklist source</w:t>
      </w:r>
    </w:p>
    <w:p>
      <w:pPr>
        <w:spacing w:after="0"/>
      </w:pPr>
      <w:r>
        <w:rPr>
          <w:rFonts w:ascii="Arial" w:hAnsi="Arial"/>
          <w:b w:val="0"/>
          <w:i w:val="0"/>
          <w:color w:val="000000"/>
          <w:sz w:val="17"/>
        </w:rPr>
        <w:t>STROBE Initiative. STROBE checklists. https://www.strobe-statement.org/checklists/</w:t>
      </w:r>
    </w:p>
    <w:sectPr w:rsidR="00FC693F" w:rsidRPr="0006063C" w:rsidSect="00034616">
      <w:footerReference w:type="default" r:id="rId9"/>
      <w:pgSz w:w="12240" w:h="15840"/>
      <w:pgMar w:top="936" w:right="936" w:bottom="936" w:left="936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b w:val="0"/>
        <w:i w:val="0"/>
        <w:color w:val="666666"/>
        <w:sz w:val="16"/>
      </w:rPr>
      <w:t>Supplementary Material 1 — Completed STROBE Checklist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